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345</w:t>
      </w:r>
    </w:p>
    <w:p>
      <w:r>
        <w:t>Bundesgericht (BGE), 2003-12-23, DE</w:t>
      </w:r>
    </w:p>
    <w:p>
      <w:r>
        <w:rPr>
          <w:b/>
        </w:rPr>
        <w:t xml:space="preserve">Quelle: </w:t>
      </w:r>
      <w:r>
        <w:t>https://mcp.opencaselaw.ch/entscheid/bge_130 III 345</w:t>
      </w:r>
    </w:p>
    <w:p>
      <w:r>
        <w:t>FR: ATF 130 III 345</w:t>
      </w:r>
    </w:p>
    <w:p>
      <w:r>
        <w:t>IT: DTF 130 III 345</w:t>
      </w:r>
    </w:p>
    <w:p>
      <w:pPr>
        <w:pStyle w:val="Heading2"/>
      </w:pPr>
      <w:r>
        <w:t>Regeste</w:t>
      </w:r>
    </w:p>
    <w:p>
      <w:r>
        <w:t>Regeste Vertrag mit Schutzwirkung zugunsten Dritter; Vertrauenshaftung (Art. 2 ZGB). Die Haftung eines Liegenschaftenschätzers aus Vertrag mit Schutzwirkung zugunsten Dritter wäre selbst nach Auffassung der Befürworter dieser Rechtsfigur nur denkbar, wenn der Verkäufer der Liegenschaft im Einverständnis mit den Käufern einen Schätzungsauftrag in eigenem Namen erteilt und dem Liegenschaftenschätzer die gemeinsame Interessenlage offen gelegt hätte (E. 1). Ein Gutachter kann bereits bei einer mittelbaren Beziehung gegenüber einem vertragsfremden Dritten aus erwecktem Vertrauen haftbar werden. Dabei spielt keine Rolle, ob der Gutachter den Dritten kennt oder zumindest weiss, um wen es sich handelt, denn das Haftungsrisiko richtet sich nach den davon unabhängigen Kriterien des Inhalts der Expertise und deren Verwendungszweck (E. 2). Haftung im vorliegenden Fall verneint (E. 3).</w:t>
      </w:r>
    </w:p>
    <w:p>
      <w:pPr>
        <w:pStyle w:val="Heading2"/>
      </w:pPr>
      <w:r>
        <w:t>Erwägungen</w:t>
      </w:r>
    </w:p>
    <w:p>
      <w:r>
        <w:rPr>
          <w:b/>
        </w:rPr>
        <w:t>E. 1</w:t>
      </w:r>
    </w:p>
    <w:p>
      <w:r>
        <w:t>Die kantonalen Gerichte kamen übereinstimmend und zutreffend zum Ergebnis, eine ausservertragliche Haftung scheitere am Erfordernis der Widerrechtlichkeit, da den Beklagten keine Rechtspflicht zum Schutze des Vermögens eines Dritten treffe. Auch eine Haftung des Beklagten aus Vertrag mit Schutzwirkung zugunsten Dritter lehnten die Vorinstanzen zu Recht ab. Eine solche Haftung BGE 130 III 345 S. 348 ist in der bisherigen Praxis nie grundsätzlich bejaht worden. Die Frage braucht auch vorliegend nicht entschieden zu werden. Denn sie wäre nur denkbar, wenn der Verkäufer im Einverständnis mit den Käufern den Schätzungsauftrag in eigenem Namen erteilt und dem Beklagten diese gemeinsame Interessenlage offen gelegt hätte. Dies trifft im vorliegenden Fall aber nicht zu. Damit aber sind die Interessen der Vertragsparteien gegenläufig: Der Verkäufer ist an einem möglichst hohen, die Käufer an einem möglichst tiefen Verkehrswert interessiert. In einem solchen Fall scheidet die Annahme eines Vertrags mit Schutzwirkung zugunsten Dritter auch nach Auffassung der in der neueren Rechtslehre vertretenen Befürworter dieser Rechtsfigur aus (vgl. HANS PETER WALTER, Vertrauenshaftung im Umfeld des Vertrages, in: ZBJV 132/1996 S. 291 f.; anders die Praxis in Deutschland: Urteil des Bundesgerichtshofes [BGH] vom 10. November 1994 - III ZR 50/94 [Köln], publ. in: Neue Juristische Wochenschrift 1995 S. 392; im Ergebnis zustimmend DIETER MEDICUS, Anmerkung, Juristenzeitung 1995 S. 308 f.; wie hier CLAUS-WILHELM CANARIS, Schutzwirkungen zugunsten Dritter bei "Gegenläufigkeit" der Interessen: zugleich eine Besprechung der Entscheidung des BGH vom 10. November 1994 - III ZR 50/94, publ. in: Juristenzeitung 1995 S. 441 ff.). Auch eine Haftung des Beklagten als Gehilfe oder Mittäter aus culpa in contrahendo scheidet aus. Eine absichtliche Täuschung ( Art. 28 OR ) der Kläger durch den Beklagten ist nach den tatsächlichen Feststellungen der Vorinstanz nicht auszumachen. Ob Fahrlässigkeit für die culpa in contrahendo genügt (bejahend WALTER, a.a.O., ZBJV 132/1996 S. 292; CANARIS, a.a.O., S. 445), kann offen bleiben, weil die erforderliche Sachnähe des Gutachtens zu den Verhandlungen des Kaufvertrages fehlte. Das Gutachten wurde nicht im Hinblick auf diese Vertragsverhandlungen erstellt, sondern zwei Jahre nach der Ablieferung dazu verwendet. Auf diese zeitliche Distanz erscheint eine culpa in contrahendo ausgeschlossen (vgl. WALTER, a.a.O., ZBJV 132/1996 S. 293). Zudem ginge diese auf das negative Interesse, wogegen die Kläger inhaltlich einen Erfüllungsschaden geltend machen ( BGE 105 II 75 E. 3 S. 81). Die kantonalen Gerichte schützten die Klage indessen auf Grund der in jüngster Zeit vom Bundesgericht als eigenständige Haftungsgrundlage anerkannten Rechtsfigur der Vertrauenshaftung. BGE 130 III 345 S. 349</w:t>
      </w:r>
    </w:p>
    <w:p>
      <w:r>
        <w:rPr>
          <w:b/>
        </w:rPr>
        <w:t>E. 2.1</w:t>
      </w:r>
    </w:p>
    <w:p>
      <w:r>
        <w:t>Die Haftung aus erwecktem Vertrauen, welche als Oberbegriff jene aus culpa in contrahendo und die weiteren interessenmässig gleich gelagerten Tatbestandsgruppen umfasst (BAUMANN, Zürcher Kommentar, N. 108 und 123 zu Art. 2 ZGB ; KRAMER, Berner Kommentar, Allgemeine Einleitung in das schweizerische OR, N. 151), ist zwischen Vertrag und Delikt angesiedelt. Es handelt sich dabei um die Haftung eines vertragsfremden Dritten, bei welcher das von diesem erweckte Vertrauen die Rechtsgrundlage eines Schadenersatzanspruchs bildet, wenn es anschliessend enttäuscht wird. Schutzwürdiges Vertrauen setzt ein Verhalten des Schädigers voraus, das geeignet ist, hinreichend konkrete und bestimmte Erwartungen des Geschädigten zu wecken ( BGE 124 III 297 E. 6a S. 304; BGE 121 III 350 E. 6c S. 355; BGE 120 II 331 E. 5a S. 336; Urteile des Bundesgerichts 4C.299/1998 vom 7. Januar 1999, E. 4a, publ. in: SJ 2000 I S. 537 f.; 4C.280/1999 vom 28. Januar 2000, E. 3a, publ. in: SJ 2000 I S. 554 f.; KRAMER, a.a.O., N. 150; BUCHER, Basler Kommentar, 3. Aufl., N. 69a ff. zu Art. 1 OR ). Trifft der Geschädigte sich als nachteilig erweisende Dispositionen, hat der Schädiger für den Schaden einzustehen, sofern und soweit die nicht verwirklichte Erwartung dafür adäquat kausal war.</w:t>
      </w:r>
    </w:p>
    <w:p>
      <w:r>
        <w:rPr>
          <w:b/>
        </w:rPr>
        <w:t>E. 2.2</w:t>
      </w:r>
    </w:p>
    <w:p>
      <w:r>
        <w:t>Die Haftung aus erwecktem und enttäuschtem Vertrauen setzt voraus, dass die Beteiligten in eine so genannte "rechtliche Sonderverbindung" zueinander getreten sind, welche erst rechtfertigt, die aus Treu und Glauben ( Art. 2 ZGB ) hergeleiteten Schutz- und Aufklärungspflichten greifen zu lassen ( BGE 120 II 331 E. 5a S. 336). Eine derartige Sonderverbindung entsteht aus bewusstem oder normativ zurechenbarem Verhalten der in Anspruch genommenen Person. Ein zufälliges und ungewolltes Zusammenprallen, wie es im Regelfall einer auf Fahrlässigkeit gründenden Deliktshaftung eigen ist ( BGE 128 III 324 E. 2.2 S. 327; Urteil des BGE 130 III 345 S. 350 Bundesgerichts 4C.280/1999 vom 28. Januar 2000, E. 3a, publ. in: SJ 2000 I S. 554 f.; KRAMER, a.a.O., N. 141; HANS PETER WALTER, Die Vertrauenshaftung: Unkraut oder Blume im Garten des Rechts?, in: ZSR 120/2001 I S. 97), schafft dagegen keine derartige Sonderverbindung. Die Eigenhaftung eines Erfüllungsgehilfen kommt damit nur in Betracht, wenn er selbst in engen persönlichen Beziehungen zum Kunden seines Auftraggebers stand oder wenn er diesem aufgrund seines gesamten Verhaltens gleichsam persönliche Gewähr für das Gelingen des übernommenen Geschäfts bot (Urteil des Bundesgerichts 4C.280/1999 vom 28. Januar 2000, E. 3a, mit Hinweis auf WIEGAND/BERGER, Zur rechtssystematischen Einordnung von Art. 11 BEHG , in: ZBJV 135/1999 S. 713 f. und 743). Ein unmittelbarer Kontakt zwischen Ansprecher und Schädiger ist demnach nicht unabdingbar. Es genügt, dass die in Anspruch genommene Person explizit oder normativ zurechenbar kundgetan hat, für die Richtigkeit bestimmter Äusserungen einzustehen und der Ansprecher im berechtigten Vertrauen darauf Anordnungen getroffen hat, die ihm zum Schaden gereichten. Eine derartige Konstellation lag BGE 120 II 331 E. 5a S. 337 zugrunde, wo hervorgehoben wurde, dass sich die Haftung aus Konzernvertrauen, wenn sich dieses aus bestimmten Aussagen der Muttergesellschaft ergibt, mit der Haftung aus falschem Rat und mangelhafter Auskunft berührt. Daraus folgt, dass unter denselben Voraussetzungen auch ein Experte, dessen Auftrag im Wesentlichen stets darin besteht, bestimmte Fragen aus seinem Fachbereich zu beantworten, bereits bei einer mittelbaren Beziehung gegenüber einem vertragsfremden Dritten aus erwecktem Vertrauen haftbar werden kann. Die Analogie zur culpa in contrahendo-Haftung lässt sich herstellen durch Anknüpfung an den intendierten Vertrag zwischen dem Dritten und dem Auftraggeber des Experten, auf den die Expertise Einfluss zu nehmen bestimmt ist. Der Experte, der ein Schriftstück erarbeitet, welches dann von seinem Auftraggeber an den Dritten weitergegeben wird, tritt jedenfalls dann in mittelbare Beziehung zum Empfänger, wenn die Weitergabe mit seinem - wirklichen oder vertrauenstheoretisch zurechenbaren - Einverständnis erfolgt (CLAUS-WILHELM CANARIS, Die Reichweite der Expertenhaftung gegenüber Dritten, in: Zeitschrift für das gesamte Handelsrecht und Wirtschaftsrecht 163/1999 S. 224 ff.). Dabei spielt keine Rolle, ob der Experte den Dritten kennt oder zumindest weiss, um wen es sich handelt oder nicht, denn das Haftungsrisiko richtet sich nach den davon unabhängigen Kriterien des Inhalts der Expertise und deren Verwendungszweck (vgl. Urteil des Bundesgerichts 4C.202/2002 vom 30. Oktober 2002, E. 4.1; CANARIS, a.a.O., S. 235; ihm folgend ALAIN HIRSCH, La responsabilité de l'expert envers les tiers, in: Chappuis/Winiger, La responsabilité fondée sur la confiance, Journée de la responsabilité civile 2000, Zürich 2001, S. 83; REGULA FEHLMANN, Vertrauenshaftung - Vertrauen als alleinige Haftungsgrundlage, Diss. St. Gallen 2002, S. 147 mit Hinweisen). Ob der Gutachter mit der Begebung seiner Expertise an den ihn BGE 130 III 345 S. 351 belangen den Dritten rechnen musste, entscheidet sich nach den konkreten Umständen, dem gesellschaftlichen und beruflichen Kontext und der sozialen Rolle der Betroffenen (RAINER GONZENBACH, Culpa in contrahendo im schweizerischen Vertragsrecht, Diss. Bern 1987, S. 37; ERNST A. KRAMER, Diskussionsbeitrag zum Thema "Vertrauenshaftung" in: Chappuis/Winiger, a.a.O., S. 190). Diese bestimmen auch über die Intensität der Sonderverbindung, nach welcher sich wiederum der Umfang der Haftung richtet (EUGEN BUCHER, Was man aus einem Fall von "Putativ-Vertrauenshaftung" lernen kann, in: recht 19/2001 S. 79; WALTER, a.a.O., ZSR 120/2001 I S. 97). So hat das Bundesgericht im Urteil 4C.280/1999 vom 28. Januar 2000, E. 3a (publ. in: SJ 2000 I S. 554 f.) eine Sonderverbindung zwischen einem vom bauenden Grundeigentümer zur Baugrundabklärung und Begleitung der Aushubarbeiten beauftragten Geologen und den Eigentümern der durch die Bauarbeiten beschädigten Nachbarliegenschaft verneint. Zur Begründung führte es aus, weder sei festgestellt, dass eine persönliche Beziehung zwischen den Parteien stattgefunden habe noch dass der Beklagte den Klägern zugesichert habe, die Bautätigkeit werde ihr Eigentum nicht tangieren. Dispositionen der Kläger gestützt auf eine vom Beklagten geschaffene Vertrauensposition seien ebenfalls nicht auszumachen. Der Kontakt zwischen den Parteien sei ausschliesslich durch die als Folge von Bauarbeiten auf dem klägerischen Grundstück verursachten Schäden bedingt. Demgegenüber gelangte die Vorinstanz in Würdigung der Umstände im vorliegenden Fall zum Ergebnis, für den Beklagten sei die Weitergabe seines Schätzungsberichts an potenzielle Käufer voraussehbar gewesen. Ob sie dabei Bundesrecht verletzte, ist nachstehend zu prüfen.</w:t>
      </w:r>
    </w:p>
    <w:p>
      <w:r>
        <w:rPr>
          <w:b/>
        </w:rPr>
        <w:t>E. 3.1</w:t>
      </w:r>
    </w:p>
    <w:p>
      <w:r>
        <w:t>Der Beklagte macht mit der Berufung geltend, die Vorinstanz habe in keiner Weise begründet, worin die besondere Intensität der mittelbaren Beziehung zwischen den Parteien bestanden haben soll. Eine solche liege auch nicht vor, denn die Kläger hätten es unterlassen, den Beklagten vor Vertragsschluss zu kontaktieren und anzufragen, wie umfassend er seinerzeit die Liegenschaft untersucht habe und ob sie sich mit Bezug auf die Mängelfreiheit auf das zwei Jahre zuvor erstellte Gutachten verlassen könnten. Sie hätten daher die alleinige Verantwortung für ihre Vertrauensseligkeit zu tragen. BGE 130 III 345 S. 352</w:t>
      </w:r>
    </w:p>
    <w:p>
      <w:r>
        <w:rPr>
          <w:b/>
        </w:rPr>
        <w:t>E. 3.2</w:t>
      </w:r>
    </w:p>
    <w:p>
      <w:r>
        <w:t>Im vorliegenden Fall bestand zwischen dem Eigentümer der Liegenschaft D. in C. und dem Beklagten ein Auftragsverhältnis gemäss Art. 394 ff. OR . Der Beklagte verpflichtete sich gegenüber dem Liegenschafteneigentümer, ein Schätzungsgutachten über die genannte Liegenschaft zu erstellen. Wie die Kläger selbst angaben, diente das Gutachten dem damaligen Liegenschafteneigentümer dazu, bei der Bank eine Erhöhung des Hypothekarkredits zu erlangen. Die Kläger erhielten erst zwei Jahre später Kenntnis vom besagten Gutachten, als es ihnen im Rahmen einer Verkaufsdokumentation vorgelegt wurde. Der Beklagte konnte zwar nicht völlig ausschliessen, dass das von ihm erstellte Gutachten von irgendwelchen Personen in irgendeinem Zusammenhang zu einem späteren Zeitpunkt einmal eingesehen werden könnte. Allein die Möglichkeit einer zufälligen Kenntnisnahme vom Gutachten genügt aber nicht zur Begründung der Vertrauenshaftung. Dem angefochtenen Urteil ist nicht zu entnehmen, dass zwischen den Parteien zum Zeitpunkt der Erstellung des Gutachtens ein direkter Kontakt bestand oder dass der Beklagte von den Klägern und deren späteren Kaufsabsichten wusste. Auch liegen keine Anhaltspunkte vor, die darauf hindeuten, dass der Beklagte von den Klägern hätte wissen müssen. Es ist deshalb davon auszugehen, dass zwischen den Parteien zum Zeitpunkt der Erstellung des Gutachtens keine Verbindung bestand, die ein legitimes Vertrauen der Kläger in die Richtigkeit des vom Beklagten erstellten Gutachtens hätte begründen können. Ebenso wenig war für den Beklagten voraussehbar, dass der Liegenschafteneigentümer das Gutachten, welches dieser im Hinblick auf ein Gesuch um die Erhöhung des Hypothekarkredits bestellt hatte, zwei Jahre später in einem anderen Zusammenhang, dem Verkauf der Liegenschaft, nochmals verwenden würde. Eine Vertrauensbasis hätte das Gutachten höchstens gegenüber der Bank darstellen können, wenn diese gestützt auf im Gutachten enthaltene falsche Angaben nachteilige Dispositionen getroffen hätte. Das Gutachten zirkulierte aber im zeitlichen Abstand von zwei Jahren innerhalb eines Personenkreises, der mit dem ursprünglichen Zweck des bestellten Gutachtens nichts mehr zu tun hatte. Diese Personen, von denen der Beklagte nichts wusste und nichts wissen musste, waren nicht berechtigt, sich auf die Richtigkeit der Angaben im Gutachten zu verlassen. Die Haftung des Beklagten für das bei den Klägern erweckte Vertrauen dennoch zu bejahen, würde dazu BGE 130 III 345 S. 353 führen, dass die Vertrauenshaftung zu einer Haftung gegenüber jeder zufällig mit dem Gutachten in Berührung kommenden Person und mithin zu einer Haftung gegenüber jedermann (erga omnes) ausufern würde. Die Haftung des Beklagten ist deshalb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